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5C39" w14:textId="2FFF5DAA" w:rsidR="00BF1CFE" w:rsidRPr="00F73FF5" w:rsidRDefault="005F108B" w:rsidP="00CE74C0">
      <w:pPr>
        <w:jc w:val="both"/>
        <w:rPr>
          <w:b/>
          <w:sz w:val="20"/>
          <w:szCs w:val="32"/>
        </w:rPr>
      </w:pPr>
      <w:r>
        <w:rPr>
          <w:b/>
          <w:sz w:val="26"/>
          <w:szCs w:val="32"/>
        </w:rPr>
        <w:softHyphen/>
      </w:r>
      <w:r>
        <w:rPr>
          <w:b/>
          <w:sz w:val="26"/>
          <w:szCs w:val="32"/>
        </w:rPr>
        <w:softHyphen/>
      </w:r>
    </w:p>
    <w:p w14:paraId="1BA085FC" w14:textId="2F2BD0B3" w:rsidR="00BF1CFE" w:rsidRPr="00CE74C0" w:rsidRDefault="00552629" w:rsidP="00F73FF5">
      <w:pPr>
        <w:jc w:val="center"/>
        <w:rPr>
          <w:b/>
          <w:sz w:val="32"/>
          <w:szCs w:val="32"/>
        </w:rPr>
      </w:pPr>
      <w:r w:rsidRPr="00552629">
        <w:rPr>
          <w:b/>
          <w:sz w:val="32"/>
          <w:szCs w:val="32"/>
        </w:rPr>
        <w:t>Certificate</w:t>
      </w:r>
      <w:r w:rsidR="00BF1CFE" w:rsidRPr="00CE74C0">
        <w:rPr>
          <w:b/>
          <w:sz w:val="32"/>
          <w:szCs w:val="32"/>
        </w:rPr>
        <w:t xml:space="preserve"> course on</w:t>
      </w:r>
    </w:p>
    <w:p w14:paraId="239D83E8" w14:textId="7E95CE29" w:rsidR="00BF1CFE" w:rsidRDefault="00552629" w:rsidP="00F73F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“Excellence in Teaching Online” </w:t>
      </w:r>
    </w:p>
    <w:p w14:paraId="6B0184DA" w14:textId="7D8F0850" w:rsidR="00F73FF5" w:rsidRPr="00F73FF5" w:rsidRDefault="00F73FF5" w:rsidP="00F73FF5">
      <w:pPr>
        <w:jc w:val="center"/>
        <w:rPr>
          <w:bCs/>
          <w:i/>
          <w:iCs/>
        </w:rPr>
      </w:pPr>
      <w:r w:rsidRPr="00F73FF5">
        <w:rPr>
          <w:bCs/>
          <w:i/>
          <w:iCs/>
        </w:rPr>
        <w:t>Offered by Center of Excellence for Teaching and Learning (CETL)</w:t>
      </w:r>
    </w:p>
    <w:p w14:paraId="245AF10A" w14:textId="37DF2D58" w:rsidR="00BF1CFE" w:rsidRPr="00CE74C0" w:rsidRDefault="00BF1CFE" w:rsidP="00CE74C0">
      <w:pPr>
        <w:jc w:val="both"/>
        <w:rPr>
          <w:b/>
          <w:sz w:val="32"/>
          <w:szCs w:val="32"/>
        </w:rPr>
      </w:pPr>
      <w:r w:rsidRPr="00CE74C0">
        <w:rPr>
          <w:b/>
          <w:sz w:val="32"/>
          <w:szCs w:val="32"/>
        </w:rPr>
        <w:t xml:space="preserve">   </w:t>
      </w:r>
    </w:p>
    <w:p w14:paraId="044504D9" w14:textId="6ADB5C1C" w:rsidR="00BF1CFE" w:rsidRPr="00CE74C0" w:rsidRDefault="00BF1CFE" w:rsidP="00CE74C0">
      <w:pPr>
        <w:jc w:val="both"/>
        <w:rPr>
          <w:b/>
        </w:rPr>
      </w:pPr>
      <w:r w:rsidRPr="00CE74C0">
        <w:rPr>
          <w:b/>
        </w:rPr>
        <w:t>Introduction</w:t>
      </w:r>
    </w:p>
    <w:p w14:paraId="42F952CB" w14:textId="5774DB1C" w:rsidR="00F73FF5" w:rsidRDefault="00F73FF5" w:rsidP="00CE74C0">
      <w:pPr>
        <w:pStyle w:val="NormalWeb"/>
        <w:spacing w:before="240" w:beforeAutospacing="0" w:after="0" w:afterAutospacing="0"/>
        <w:jc w:val="both"/>
        <w:rPr>
          <w:color w:val="000000"/>
          <w:sz w:val="22"/>
          <w:szCs w:val="22"/>
        </w:rPr>
      </w:pPr>
      <w:r w:rsidRPr="00F73FF5">
        <w:rPr>
          <w:color w:val="000000"/>
          <w:sz w:val="22"/>
          <w:szCs w:val="22"/>
        </w:rPr>
        <w:t xml:space="preserve">The </w:t>
      </w:r>
      <w:r>
        <w:rPr>
          <w:color w:val="000000"/>
          <w:sz w:val="22"/>
          <w:szCs w:val="22"/>
        </w:rPr>
        <w:t xml:space="preserve">recent </w:t>
      </w:r>
      <w:r w:rsidRPr="00F73FF5">
        <w:rPr>
          <w:color w:val="000000"/>
          <w:sz w:val="22"/>
          <w:szCs w:val="22"/>
        </w:rPr>
        <w:t>s</w:t>
      </w:r>
      <w:r w:rsidR="00CE3DB1">
        <w:rPr>
          <w:color w:val="000000"/>
          <w:sz w:val="22"/>
          <w:szCs w:val="22"/>
        </w:rPr>
        <w:t xml:space="preserve">tudy </w:t>
      </w:r>
      <w:r w:rsidRPr="00F73FF5">
        <w:rPr>
          <w:color w:val="000000"/>
          <w:sz w:val="22"/>
          <w:szCs w:val="22"/>
        </w:rPr>
        <w:t>results indicated that technology should be combined with material awareness and pedagogy</w:t>
      </w:r>
      <w:r>
        <w:rPr>
          <w:color w:val="000000"/>
          <w:sz w:val="22"/>
          <w:szCs w:val="22"/>
        </w:rPr>
        <w:t xml:space="preserve"> and </w:t>
      </w:r>
      <w:r w:rsidRPr="00F73FF5">
        <w:rPr>
          <w:color w:val="000000"/>
          <w:sz w:val="22"/>
          <w:szCs w:val="22"/>
        </w:rPr>
        <w:t>andragogy. The Needs Assessment Survey was accompanied by a group of senior faculty members, all of whom agreed that quality training courses are needed to improve teachers' skills and prepare them to use required and applicable educational materials</w:t>
      </w:r>
      <w:r>
        <w:rPr>
          <w:color w:val="000000"/>
          <w:sz w:val="22"/>
          <w:szCs w:val="22"/>
        </w:rPr>
        <w:t xml:space="preserve"> of off campus teaching. </w:t>
      </w:r>
      <w:r w:rsidRPr="00F73FF5">
        <w:rPr>
          <w:color w:val="000000"/>
          <w:sz w:val="22"/>
          <w:szCs w:val="22"/>
        </w:rPr>
        <w:t>e-Learning and e-Teaching have become the latest "standard" for providing education in Bangladesh in the wake of Covid-19. Off-campus teaching using online technologies creates an entirely new learning and teaching experience for both students and instructors, and it necessitates three skills: material awareness, pedagogy skills, and technology integration.</w:t>
      </w:r>
    </w:p>
    <w:p w14:paraId="01507ED2" w14:textId="6BF82054" w:rsidR="0032328D" w:rsidRPr="0032328D" w:rsidRDefault="0032328D" w:rsidP="00CE74C0">
      <w:pPr>
        <w:pStyle w:val="NormalWeb"/>
        <w:spacing w:before="24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Few</w:t>
      </w:r>
      <w:r w:rsidR="00F73FF5" w:rsidRPr="00F73FF5">
        <w:rPr>
          <w:color w:val="000000"/>
          <w:sz w:val="22"/>
          <w:szCs w:val="22"/>
        </w:rPr>
        <w:t xml:space="preserve"> private and public universities in Bangladesh have taken steps to adapt off-campus e-Learning and e-Teaching. However, integrating these three skills is difficult and requires preparation for efficient use of technical tools.</w:t>
      </w:r>
      <w:r>
        <w:rPr>
          <w:color w:val="000000"/>
          <w:sz w:val="22"/>
          <w:szCs w:val="22"/>
        </w:rPr>
        <w:t xml:space="preserve"> </w:t>
      </w:r>
      <w:r w:rsidR="00BF1CFE" w:rsidRPr="00CE74C0">
        <w:rPr>
          <w:color w:val="000000"/>
          <w:sz w:val="22"/>
          <w:szCs w:val="22"/>
        </w:rPr>
        <w:t xml:space="preserve">In this context, </w:t>
      </w:r>
      <w:r w:rsidRPr="0032328D">
        <w:rPr>
          <w:color w:val="000000"/>
          <w:sz w:val="22"/>
          <w:szCs w:val="22"/>
        </w:rPr>
        <w:t>Center of Excellence for Teaching and Learning (CETL)</w:t>
      </w:r>
      <w:r>
        <w:rPr>
          <w:color w:val="000000"/>
          <w:sz w:val="22"/>
          <w:szCs w:val="22"/>
        </w:rPr>
        <w:t xml:space="preserve"> has been conducting continuous training programs for the internal teachers of Green University and a certificate course for external teachers in collaboration with fLTR </w:t>
      </w:r>
      <w:r w:rsidR="00BF1CFE" w:rsidRPr="00CE74C0">
        <w:rPr>
          <w:color w:val="000000"/>
          <w:sz w:val="22"/>
          <w:szCs w:val="22"/>
        </w:rPr>
        <w:t xml:space="preserve">titled </w:t>
      </w:r>
      <w:r w:rsidR="00BF1CFE" w:rsidRPr="00965FD9">
        <w:rPr>
          <w:b/>
          <w:color w:val="000000"/>
          <w:sz w:val="22"/>
          <w:szCs w:val="22"/>
        </w:rPr>
        <w:t>“Certificate in eLearning and Teaching (</w:t>
      </w:r>
      <w:proofErr w:type="spellStart"/>
      <w:r w:rsidR="00BF1CFE" w:rsidRPr="00965FD9">
        <w:rPr>
          <w:b/>
          <w:color w:val="000000"/>
          <w:sz w:val="22"/>
          <w:szCs w:val="22"/>
        </w:rPr>
        <w:t>CeLT</w:t>
      </w:r>
      <w:proofErr w:type="spellEnd"/>
      <w:r w:rsidR="00BF1CFE" w:rsidRPr="00965FD9">
        <w:rPr>
          <w:b/>
          <w:color w:val="000000"/>
          <w:sz w:val="22"/>
          <w:szCs w:val="22"/>
        </w:rPr>
        <w:t>)”</w:t>
      </w:r>
      <w:r w:rsidR="00BF1CFE" w:rsidRPr="00CE74C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since March 2020 </w:t>
      </w:r>
      <w:r w:rsidR="00BF1CFE" w:rsidRPr="00CE74C0">
        <w:rPr>
          <w:color w:val="000000"/>
          <w:sz w:val="22"/>
          <w:szCs w:val="22"/>
        </w:rPr>
        <w:t xml:space="preserve">to enhance the competency level of </w:t>
      </w:r>
      <w:r w:rsidRPr="00CE74C0">
        <w:rPr>
          <w:color w:val="000000"/>
          <w:sz w:val="22"/>
          <w:szCs w:val="22"/>
        </w:rPr>
        <w:t xml:space="preserve">the </w:t>
      </w:r>
      <w:r>
        <w:rPr>
          <w:color w:val="000000"/>
          <w:sz w:val="22"/>
          <w:szCs w:val="22"/>
        </w:rPr>
        <w:t xml:space="preserve">teachers </w:t>
      </w:r>
      <w:r w:rsidR="00BF1CFE" w:rsidRPr="00CE74C0">
        <w:rPr>
          <w:color w:val="000000"/>
          <w:sz w:val="22"/>
          <w:szCs w:val="22"/>
        </w:rPr>
        <w:t xml:space="preserve">to offer e-Teaching and Learning courses with greater expertise and confidence. </w:t>
      </w:r>
      <w:r w:rsidRPr="00CE74C0">
        <w:rPr>
          <w:color w:val="000000"/>
          <w:sz w:val="22"/>
          <w:szCs w:val="22"/>
        </w:rPr>
        <w:t xml:space="preserve">We </w:t>
      </w:r>
      <w:r>
        <w:rPr>
          <w:color w:val="000000"/>
          <w:sz w:val="22"/>
          <w:szCs w:val="22"/>
        </w:rPr>
        <w:t xml:space="preserve">have found that the </w:t>
      </w:r>
      <w:r w:rsidR="00BF1CFE" w:rsidRPr="00CE74C0">
        <w:rPr>
          <w:color w:val="000000"/>
          <w:sz w:val="22"/>
          <w:szCs w:val="22"/>
        </w:rPr>
        <w:t xml:space="preserve">course </w:t>
      </w:r>
      <w:r>
        <w:rPr>
          <w:color w:val="000000"/>
          <w:sz w:val="22"/>
          <w:szCs w:val="22"/>
        </w:rPr>
        <w:t xml:space="preserve">has </w:t>
      </w:r>
      <w:r w:rsidR="00BF1CFE" w:rsidRPr="00CE74C0">
        <w:rPr>
          <w:color w:val="000000"/>
          <w:sz w:val="22"/>
          <w:szCs w:val="22"/>
        </w:rPr>
        <w:t>benefit</w:t>
      </w:r>
      <w:r>
        <w:rPr>
          <w:color w:val="000000"/>
          <w:sz w:val="22"/>
          <w:szCs w:val="22"/>
        </w:rPr>
        <w:t>ed</w:t>
      </w:r>
      <w:r w:rsidR="00BF1CFE" w:rsidRPr="00CE74C0">
        <w:rPr>
          <w:color w:val="000000"/>
          <w:sz w:val="22"/>
          <w:szCs w:val="22"/>
        </w:rPr>
        <w:t xml:space="preserve"> the teachers of academi</w:t>
      </w:r>
      <w:r w:rsidR="00965FD9">
        <w:rPr>
          <w:color w:val="000000"/>
          <w:sz w:val="22"/>
          <w:szCs w:val="22"/>
        </w:rPr>
        <w:t>c institution in great measure.</w:t>
      </w:r>
      <w:r>
        <w:rPr>
          <w:color w:val="000000"/>
          <w:sz w:val="22"/>
          <w:szCs w:val="22"/>
        </w:rPr>
        <w:t xml:space="preserve"> For this reason, CETL is going to offer a certificate course for college and school teachers title </w:t>
      </w:r>
      <w:r w:rsidR="00297DA8" w:rsidRPr="00297DA8">
        <w:rPr>
          <w:b/>
          <w:bCs/>
          <w:color w:val="000000"/>
          <w:sz w:val="22"/>
          <w:szCs w:val="22"/>
        </w:rPr>
        <w:t>Excellence in Teaching Online</w:t>
      </w:r>
      <w:r w:rsidR="00297DA8" w:rsidRPr="00297DA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from 25 June 2021.</w:t>
      </w:r>
    </w:p>
    <w:p w14:paraId="7C698199" w14:textId="77777777" w:rsidR="00BF1CFE" w:rsidRPr="00CE74C0" w:rsidRDefault="00BF1CFE" w:rsidP="00CE74C0">
      <w:pPr>
        <w:jc w:val="both"/>
        <w:rPr>
          <w:b/>
        </w:rPr>
      </w:pPr>
    </w:p>
    <w:p w14:paraId="3FCDAB3D" w14:textId="77777777" w:rsidR="0032328D" w:rsidRPr="0032328D" w:rsidRDefault="0032328D" w:rsidP="0032328D">
      <w:pPr>
        <w:jc w:val="both"/>
        <w:rPr>
          <w:b/>
          <w:sz w:val="22"/>
          <w:szCs w:val="22"/>
        </w:rPr>
      </w:pPr>
      <w:r w:rsidRPr="0032328D">
        <w:rPr>
          <w:b/>
          <w:sz w:val="22"/>
          <w:szCs w:val="22"/>
        </w:rPr>
        <w:t>General Objectives</w:t>
      </w:r>
    </w:p>
    <w:p w14:paraId="502F0C97" w14:textId="18B1B765" w:rsidR="0032328D" w:rsidRPr="0032328D" w:rsidRDefault="0032328D" w:rsidP="0032328D">
      <w:pPr>
        <w:jc w:val="both"/>
        <w:rPr>
          <w:bCs/>
          <w:sz w:val="22"/>
          <w:szCs w:val="22"/>
        </w:rPr>
      </w:pPr>
      <w:r w:rsidRPr="0032328D">
        <w:rPr>
          <w:bCs/>
          <w:sz w:val="22"/>
          <w:szCs w:val="22"/>
        </w:rPr>
        <w:t>Promoting the competence level of teachers in conducting eLearning and teaching courses addressing the online learning needs and challenges of the students.</w:t>
      </w:r>
    </w:p>
    <w:p w14:paraId="74D55A28" w14:textId="77777777" w:rsidR="0032328D" w:rsidRPr="0032328D" w:rsidRDefault="0032328D" w:rsidP="0032328D">
      <w:pPr>
        <w:jc w:val="both"/>
        <w:rPr>
          <w:bCs/>
          <w:sz w:val="22"/>
          <w:szCs w:val="22"/>
        </w:rPr>
      </w:pPr>
    </w:p>
    <w:p w14:paraId="3802D6FF" w14:textId="77777777" w:rsidR="0032328D" w:rsidRPr="0032328D" w:rsidRDefault="0032328D" w:rsidP="0032328D">
      <w:pPr>
        <w:jc w:val="both"/>
        <w:rPr>
          <w:b/>
          <w:sz w:val="22"/>
          <w:szCs w:val="22"/>
        </w:rPr>
      </w:pPr>
      <w:r w:rsidRPr="0032328D">
        <w:rPr>
          <w:b/>
          <w:sz w:val="22"/>
          <w:szCs w:val="22"/>
        </w:rPr>
        <w:t>Specific Objectives</w:t>
      </w:r>
    </w:p>
    <w:p w14:paraId="5FFEBBD1" w14:textId="77777777" w:rsidR="0032328D" w:rsidRPr="0032328D" w:rsidRDefault="0032328D" w:rsidP="0032328D">
      <w:pPr>
        <w:jc w:val="both"/>
        <w:rPr>
          <w:bCs/>
          <w:sz w:val="22"/>
          <w:szCs w:val="22"/>
        </w:rPr>
      </w:pPr>
      <w:r w:rsidRPr="0032328D">
        <w:rPr>
          <w:bCs/>
          <w:sz w:val="22"/>
          <w:szCs w:val="22"/>
        </w:rPr>
        <w:t>On completion of the course the participants will be able to:</w:t>
      </w:r>
    </w:p>
    <w:p w14:paraId="4A783032" w14:textId="77777777" w:rsidR="0032328D" w:rsidRPr="0032328D" w:rsidRDefault="0032328D" w:rsidP="0032328D">
      <w:pPr>
        <w:pStyle w:val="ListParagraph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32328D">
        <w:rPr>
          <w:bCs/>
          <w:sz w:val="22"/>
          <w:szCs w:val="22"/>
        </w:rPr>
        <w:t>develop a positive mindset and aptitude for e-learning and Teaching</w:t>
      </w:r>
    </w:p>
    <w:p w14:paraId="7FDDBDE2" w14:textId="77777777" w:rsidR="0032328D" w:rsidRPr="0032328D" w:rsidRDefault="0032328D" w:rsidP="0032328D">
      <w:pPr>
        <w:pStyle w:val="ListParagraph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32328D">
        <w:rPr>
          <w:bCs/>
          <w:sz w:val="22"/>
          <w:szCs w:val="22"/>
        </w:rPr>
        <w:t>design e-Learning and Teaching courses using LMS</w:t>
      </w:r>
    </w:p>
    <w:p w14:paraId="78CA917E" w14:textId="77777777" w:rsidR="0032328D" w:rsidRPr="0032328D" w:rsidRDefault="0032328D" w:rsidP="0032328D">
      <w:pPr>
        <w:pStyle w:val="ListParagraph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32328D">
        <w:rPr>
          <w:bCs/>
          <w:sz w:val="22"/>
          <w:szCs w:val="22"/>
        </w:rPr>
        <w:t>overcome challenges in facilitating e-Learning and Teaching activities</w:t>
      </w:r>
    </w:p>
    <w:p w14:paraId="0E3C7B7F" w14:textId="77777777" w:rsidR="0032328D" w:rsidRPr="0032328D" w:rsidRDefault="0032328D" w:rsidP="0032328D">
      <w:pPr>
        <w:pStyle w:val="ListParagraph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32328D">
        <w:rPr>
          <w:bCs/>
          <w:sz w:val="22"/>
          <w:szCs w:val="22"/>
        </w:rPr>
        <w:t>apply the required, relevant, and best teaching technologies in conducting e-Learning and Teaching courses through interactive activities.</w:t>
      </w:r>
    </w:p>
    <w:p w14:paraId="415A8031" w14:textId="77777777" w:rsidR="0032328D" w:rsidRPr="0032328D" w:rsidRDefault="0032328D" w:rsidP="0032328D">
      <w:pPr>
        <w:pStyle w:val="ListParagraph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32328D">
        <w:rPr>
          <w:bCs/>
          <w:sz w:val="22"/>
          <w:szCs w:val="22"/>
        </w:rPr>
        <w:t>utilize tools and techniques for assessing the performance of the learners.</w:t>
      </w:r>
    </w:p>
    <w:p w14:paraId="1333BCC6" w14:textId="77777777" w:rsidR="00F60B55" w:rsidRPr="0032328D" w:rsidRDefault="00F60B55" w:rsidP="0032328D">
      <w:pPr>
        <w:pStyle w:val="ListParagraph"/>
        <w:jc w:val="both"/>
        <w:rPr>
          <w:sz w:val="22"/>
        </w:rPr>
      </w:pPr>
    </w:p>
    <w:p w14:paraId="2D6420E0" w14:textId="77777777" w:rsidR="00BF1CFE" w:rsidRPr="00F95398" w:rsidRDefault="00BF1CFE" w:rsidP="00CE74C0">
      <w:pPr>
        <w:jc w:val="both"/>
        <w:rPr>
          <w:b/>
          <w:sz w:val="22"/>
          <w:szCs w:val="22"/>
        </w:rPr>
      </w:pPr>
      <w:r w:rsidRPr="00F95398">
        <w:rPr>
          <w:b/>
          <w:sz w:val="22"/>
          <w:szCs w:val="22"/>
        </w:rPr>
        <w:t>Prepared for</w:t>
      </w:r>
    </w:p>
    <w:p w14:paraId="754E024B" w14:textId="491E2708" w:rsidR="00BF1CFE" w:rsidRPr="00F95398" w:rsidRDefault="00BF1CFE" w:rsidP="00CE74C0">
      <w:pPr>
        <w:jc w:val="both"/>
        <w:rPr>
          <w:sz w:val="22"/>
          <w:szCs w:val="22"/>
        </w:rPr>
      </w:pPr>
      <w:r w:rsidRPr="00F95398">
        <w:rPr>
          <w:sz w:val="22"/>
          <w:szCs w:val="22"/>
        </w:rPr>
        <w:t>The course has been designed for the teachers of both private and public</w:t>
      </w:r>
      <w:r w:rsidR="0032328D">
        <w:rPr>
          <w:sz w:val="22"/>
          <w:szCs w:val="22"/>
        </w:rPr>
        <w:t xml:space="preserve"> academic institutes</w:t>
      </w:r>
      <w:r w:rsidRPr="00F95398">
        <w:rPr>
          <w:sz w:val="22"/>
          <w:szCs w:val="22"/>
        </w:rPr>
        <w:t xml:space="preserve">. It is expected that a group of </w:t>
      </w:r>
      <w:r w:rsidR="00255ECD" w:rsidRPr="00F95398">
        <w:rPr>
          <w:sz w:val="22"/>
          <w:szCs w:val="22"/>
        </w:rPr>
        <w:t>40</w:t>
      </w:r>
      <w:r w:rsidRPr="00F95398">
        <w:rPr>
          <w:sz w:val="22"/>
          <w:szCs w:val="22"/>
        </w:rPr>
        <w:t>-</w:t>
      </w:r>
      <w:r w:rsidR="00255ECD" w:rsidRPr="00F95398">
        <w:rPr>
          <w:sz w:val="22"/>
          <w:szCs w:val="22"/>
        </w:rPr>
        <w:t xml:space="preserve">50 </w:t>
      </w:r>
      <w:r w:rsidRPr="00F95398">
        <w:rPr>
          <w:sz w:val="22"/>
          <w:szCs w:val="22"/>
        </w:rPr>
        <w:t xml:space="preserve">teachers will attend the course. </w:t>
      </w:r>
    </w:p>
    <w:p w14:paraId="48EDF2C9" w14:textId="77777777" w:rsidR="0032328D" w:rsidRDefault="0032328D" w:rsidP="00CE74C0">
      <w:pPr>
        <w:jc w:val="both"/>
        <w:rPr>
          <w:b/>
          <w:sz w:val="22"/>
          <w:szCs w:val="22"/>
        </w:rPr>
      </w:pPr>
    </w:p>
    <w:p w14:paraId="545C666F" w14:textId="77777777" w:rsidR="0032328D" w:rsidRPr="0032328D" w:rsidRDefault="0032328D" w:rsidP="0032328D">
      <w:pPr>
        <w:jc w:val="both"/>
        <w:rPr>
          <w:b/>
          <w:sz w:val="22"/>
          <w:szCs w:val="22"/>
        </w:rPr>
      </w:pPr>
      <w:r w:rsidRPr="0032328D">
        <w:rPr>
          <w:b/>
          <w:sz w:val="22"/>
          <w:szCs w:val="22"/>
        </w:rPr>
        <w:t>Eligibility Criteria:</w:t>
      </w:r>
    </w:p>
    <w:p w14:paraId="77D2818B" w14:textId="347330D0" w:rsidR="0032328D" w:rsidRPr="0032328D" w:rsidRDefault="0032328D" w:rsidP="0032328D">
      <w:pPr>
        <w:jc w:val="both"/>
        <w:rPr>
          <w:bCs/>
          <w:sz w:val="22"/>
          <w:szCs w:val="22"/>
        </w:rPr>
      </w:pPr>
      <w:r w:rsidRPr="0032328D">
        <w:rPr>
          <w:b/>
          <w:sz w:val="22"/>
          <w:szCs w:val="22"/>
        </w:rPr>
        <w:t></w:t>
      </w:r>
      <w:r w:rsidRPr="0032328D">
        <w:rPr>
          <w:bCs/>
          <w:sz w:val="22"/>
          <w:szCs w:val="22"/>
        </w:rPr>
        <w:t>Teachers of both private and public colleges</w:t>
      </w:r>
      <w:r>
        <w:rPr>
          <w:bCs/>
          <w:sz w:val="22"/>
          <w:szCs w:val="22"/>
        </w:rPr>
        <w:t xml:space="preserve"> or school</w:t>
      </w:r>
      <w:r w:rsidRPr="0032328D">
        <w:rPr>
          <w:bCs/>
          <w:sz w:val="22"/>
          <w:szCs w:val="22"/>
        </w:rPr>
        <w:t xml:space="preserve"> in any level</w:t>
      </w:r>
    </w:p>
    <w:p w14:paraId="61C0ADCD" w14:textId="069396FA" w:rsidR="0032328D" w:rsidRPr="0032328D" w:rsidRDefault="0032328D" w:rsidP="0032328D">
      <w:pPr>
        <w:jc w:val="both"/>
        <w:rPr>
          <w:bCs/>
          <w:sz w:val="22"/>
          <w:szCs w:val="22"/>
        </w:rPr>
      </w:pPr>
      <w:r w:rsidRPr="0032328D">
        <w:rPr>
          <w:bCs/>
          <w:sz w:val="22"/>
          <w:szCs w:val="22"/>
        </w:rPr>
        <w:t>Candidates with least a bachelor degree who wish to gain a clearer, deeper understanding of teaching for future job career in college teaching</w:t>
      </w:r>
    </w:p>
    <w:p w14:paraId="74AF80E3" w14:textId="66C17B6B" w:rsidR="0032328D" w:rsidRDefault="00BF1CFE" w:rsidP="00C94A66">
      <w:pPr>
        <w:jc w:val="both"/>
        <w:rPr>
          <w:sz w:val="22"/>
          <w:szCs w:val="22"/>
        </w:rPr>
      </w:pPr>
      <w:r w:rsidRPr="00F95398">
        <w:rPr>
          <w:b/>
          <w:sz w:val="22"/>
          <w:szCs w:val="22"/>
        </w:rPr>
        <w:lastRenderedPageBreak/>
        <w:t>Duration</w:t>
      </w:r>
      <w:r w:rsidRPr="00F95398">
        <w:rPr>
          <w:sz w:val="22"/>
          <w:szCs w:val="22"/>
        </w:rPr>
        <w:t xml:space="preserve">: </w:t>
      </w:r>
      <w:r w:rsidR="00C94A66">
        <w:rPr>
          <w:sz w:val="22"/>
          <w:szCs w:val="22"/>
        </w:rPr>
        <w:t xml:space="preserve">4 weeks course </w:t>
      </w:r>
      <w:r w:rsidR="00C94A66" w:rsidRPr="00C94A66">
        <w:rPr>
          <w:sz w:val="22"/>
          <w:szCs w:val="22"/>
        </w:rPr>
        <w:t>(4 days x 3 hours= 12 hours) in every Saturday during 25 June to 25 July 2021 (1st week: 26 June, 2021, 2nd week: 3 July, 2021 and 3rd week: 10 July, 2021 and 4th week: 17 July 2021) and time schedule is 3.00-6.00 pm.</w:t>
      </w:r>
    </w:p>
    <w:p w14:paraId="2601FA63" w14:textId="7728103F" w:rsidR="00255ECD" w:rsidRPr="00F95398" w:rsidRDefault="00255ECD" w:rsidP="00CE74C0">
      <w:pPr>
        <w:jc w:val="both"/>
        <w:rPr>
          <w:sz w:val="22"/>
          <w:szCs w:val="22"/>
        </w:rPr>
      </w:pPr>
    </w:p>
    <w:p w14:paraId="5D69F2F9" w14:textId="1026A4ED" w:rsidR="00BF1CFE" w:rsidRDefault="00BF1CFE" w:rsidP="00CE74C0">
      <w:pPr>
        <w:jc w:val="both"/>
        <w:rPr>
          <w:sz w:val="22"/>
          <w:szCs w:val="22"/>
        </w:rPr>
      </w:pPr>
      <w:r w:rsidRPr="00F95398">
        <w:rPr>
          <w:b/>
          <w:sz w:val="22"/>
          <w:szCs w:val="22"/>
        </w:rPr>
        <w:t>Course Fees</w:t>
      </w:r>
      <w:r w:rsidRPr="00F95398">
        <w:rPr>
          <w:sz w:val="22"/>
          <w:szCs w:val="22"/>
        </w:rPr>
        <w:tab/>
      </w:r>
      <w:r w:rsidRPr="00F95398">
        <w:rPr>
          <w:sz w:val="22"/>
          <w:szCs w:val="22"/>
        </w:rPr>
        <w:tab/>
        <w:t xml:space="preserve">: Tk. </w:t>
      </w:r>
      <w:r w:rsidR="00C94A66">
        <w:rPr>
          <w:sz w:val="22"/>
          <w:szCs w:val="22"/>
        </w:rPr>
        <w:t>1</w:t>
      </w:r>
      <w:r w:rsidR="00255ECD" w:rsidRPr="00F95398">
        <w:rPr>
          <w:sz w:val="22"/>
          <w:szCs w:val="22"/>
        </w:rPr>
        <w:t>000</w:t>
      </w:r>
      <w:r w:rsidRPr="00F95398">
        <w:rPr>
          <w:sz w:val="22"/>
          <w:szCs w:val="22"/>
        </w:rPr>
        <w:t xml:space="preserve"> (</w:t>
      </w:r>
      <w:r w:rsidR="00C94A66">
        <w:rPr>
          <w:sz w:val="22"/>
          <w:szCs w:val="22"/>
        </w:rPr>
        <w:t xml:space="preserve">One </w:t>
      </w:r>
      <w:r w:rsidRPr="00F95398">
        <w:rPr>
          <w:sz w:val="22"/>
          <w:szCs w:val="22"/>
        </w:rPr>
        <w:t>Thousand Taka only)</w:t>
      </w:r>
    </w:p>
    <w:p w14:paraId="3591C25C" w14:textId="77777777" w:rsidR="00C94A66" w:rsidRPr="00F95398" w:rsidRDefault="00C94A66" w:rsidP="00CE74C0">
      <w:pPr>
        <w:jc w:val="both"/>
        <w:rPr>
          <w:sz w:val="22"/>
          <w:szCs w:val="22"/>
        </w:rPr>
      </w:pPr>
    </w:p>
    <w:p w14:paraId="449B283A" w14:textId="362A4F08" w:rsidR="00BF1CFE" w:rsidRPr="00F95398" w:rsidRDefault="00C94A66" w:rsidP="00CE74C0">
      <w:pPr>
        <w:jc w:val="both"/>
        <w:rPr>
          <w:b/>
          <w:sz w:val="22"/>
          <w:szCs w:val="22"/>
        </w:rPr>
      </w:pPr>
      <w:r w:rsidRPr="00C94A66">
        <w:rPr>
          <w:b/>
          <w:sz w:val="22"/>
          <w:szCs w:val="22"/>
        </w:rPr>
        <w:t>Course Venue: Virtual Classroom (Zoom platform)</w:t>
      </w:r>
    </w:p>
    <w:p w14:paraId="4A93D183" w14:textId="7AA6DD67" w:rsidR="00E065FF" w:rsidRPr="00F95398" w:rsidRDefault="00E065FF" w:rsidP="00643D87">
      <w:pPr>
        <w:jc w:val="both"/>
        <w:rPr>
          <w:b/>
          <w:sz w:val="22"/>
          <w:szCs w:val="22"/>
        </w:rPr>
      </w:pPr>
      <w:r w:rsidRPr="00F95398">
        <w:rPr>
          <w:b/>
          <w:sz w:val="22"/>
          <w:szCs w:val="22"/>
        </w:rPr>
        <w:t>Platform of training conduction</w:t>
      </w:r>
      <w:r w:rsidR="00BF1CFE" w:rsidRPr="00F95398">
        <w:rPr>
          <w:b/>
          <w:sz w:val="22"/>
          <w:szCs w:val="22"/>
        </w:rPr>
        <w:t>:</w:t>
      </w:r>
      <w:r w:rsidRPr="00F95398">
        <w:rPr>
          <w:b/>
          <w:sz w:val="22"/>
          <w:szCs w:val="22"/>
        </w:rPr>
        <w:t xml:space="preserve"> </w:t>
      </w:r>
      <w:r w:rsidRPr="00F95398">
        <w:rPr>
          <w:bCs/>
          <w:sz w:val="22"/>
          <w:szCs w:val="22"/>
        </w:rPr>
        <w:t>Zoom will be used for conducting the training course</w:t>
      </w:r>
    </w:p>
    <w:p w14:paraId="33DD88F4" w14:textId="5CFC9C67" w:rsidR="00E065FF" w:rsidRPr="00297DA8" w:rsidRDefault="00E065FF" w:rsidP="00643D87">
      <w:pPr>
        <w:jc w:val="both"/>
        <w:rPr>
          <w:bCs/>
          <w:sz w:val="22"/>
          <w:szCs w:val="22"/>
        </w:rPr>
      </w:pPr>
      <w:r w:rsidRPr="00F95398">
        <w:rPr>
          <w:b/>
          <w:sz w:val="22"/>
          <w:szCs w:val="22"/>
        </w:rPr>
        <w:t xml:space="preserve">Requirement: </w:t>
      </w:r>
      <w:r w:rsidRPr="00F95398">
        <w:rPr>
          <w:bCs/>
          <w:sz w:val="22"/>
          <w:szCs w:val="22"/>
        </w:rPr>
        <w:t xml:space="preserve">Every </w:t>
      </w:r>
      <w:r w:rsidR="005F1DEC" w:rsidRPr="00F95398">
        <w:rPr>
          <w:bCs/>
          <w:sz w:val="22"/>
          <w:szCs w:val="22"/>
        </w:rPr>
        <w:t>participant</w:t>
      </w:r>
      <w:r w:rsidR="00D75E59" w:rsidRPr="00F95398">
        <w:rPr>
          <w:bCs/>
          <w:sz w:val="22"/>
          <w:szCs w:val="22"/>
        </w:rPr>
        <w:t xml:space="preserve"> should have: Laptop or desktop</w:t>
      </w:r>
      <w:r w:rsidRPr="00F95398">
        <w:rPr>
          <w:b/>
          <w:sz w:val="22"/>
          <w:szCs w:val="22"/>
        </w:rPr>
        <w:t xml:space="preserve"> </w:t>
      </w:r>
      <w:r w:rsidRPr="00F95398">
        <w:rPr>
          <w:bCs/>
          <w:sz w:val="22"/>
          <w:szCs w:val="22"/>
        </w:rPr>
        <w:t>computer, web</w:t>
      </w:r>
      <w:r w:rsidR="005F1DEC" w:rsidRPr="00F95398">
        <w:rPr>
          <w:bCs/>
          <w:sz w:val="22"/>
          <w:szCs w:val="22"/>
        </w:rPr>
        <w:t>cam, access to internet, microphone and headsets</w:t>
      </w:r>
    </w:p>
    <w:p w14:paraId="562A132E" w14:textId="1488BE63" w:rsidR="00BF1CFE" w:rsidRPr="00297DA8" w:rsidRDefault="00BF1CFE" w:rsidP="00A42763">
      <w:pPr>
        <w:jc w:val="both"/>
        <w:rPr>
          <w:sz w:val="22"/>
          <w:szCs w:val="22"/>
        </w:rPr>
      </w:pPr>
      <w:r w:rsidRPr="00F95398">
        <w:rPr>
          <w:b/>
          <w:sz w:val="22"/>
          <w:szCs w:val="22"/>
        </w:rPr>
        <w:t>Reading Materials:</w:t>
      </w:r>
      <w:r w:rsidRPr="00F95398">
        <w:rPr>
          <w:sz w:val="22"/>
          <w:szCs w:val="22"/>
        </w:rPr>
        <w:t xml:space="preserve"> </w:t>
      </w:r>
      <w:r w:rsidR="005F1DEC" w:rsidRPr="00F95398">
        <w:rPr>
          <w:sz w:val="22"/>
          <w:szCs w:val="22"/>
        </w:rPr>
        <w:t>Relevant and required reading materials will be uploaded in a Google Class</w:t>
      </w:r>
      <w:r w:rsidRPr="00F95398">
        <w:rPr>
          <w:sz w:val="22"/>
          <w:szCs w:val="22"/>
        </w:rPr>
        <w:t>.</w:t>
      </w:r>
    </w:p>
    <w:p w14:paraId="56014301" w14:textId="633C1F46" w:rsidR="00BF1CFE" w:rsidRPr="00F95398" w:rsidRDefault="00BF1CFE" w:rsidP="00CE74C0">
      <w:pPr>
        <w:jc w:val="both"/>
        <w:rPr>
          <w:sz w:val="22"/>
          <w:szCs w:val="22"/>
        </w:rPr>
      </w:pPr>
      <w:r w:rsidRPr="00F95398">
        <w:rPr>
          <w:b/>
          <w:sz w:val="22"/>
          <w:szCs w:val="22"/>
        </w:rPr>
        <w:t xml:space="preserve">Certificate for the Course:  </w:t>
      </w:r>
      <w:r w:rsidRPr="00F95398">
        <w:rPr>
          <w:sz w:val="22"/>
          <w:szCs w:val="22"/>
        </w:rPr>
        <w:t>All participants who will successfully complete the cou</w:t>
      </w:r>
      <w:r w:rsidR="00C72FE4" w:rsidRPr="00F95398">
        <w:rPr>
          <w:sz w:val="22"/>
          <w:szCs w:val="22"/>
        </w:rPr>
        <w:t>rse will receive a certificate.</w:t>
      </w:r>
    </w:p>
    <w:p w14:paraId="4F2578DB" w14:textId="15907DF0" w:rsidR="00BF1CFE" w:rsidRPr="00F95398" w:rsidRDefault="00BF1CFE" w:rsidP="00CE74C0">
      <w:pPr>
        <w:jc w:val="both"/>
        <w:rPr>
          <w:sz w:val="22"/>
          <w:szCs w:val="22"/>
        </w:rPr>
      </w:pPr>
      <w:r w:rsidRPr="00F95398">
        <w:rPr>
          <w:b/>
          <w:sz w:val="22"/>
          <w:szCs w:val="22"/>
        </w:rPr>
        <w:t>Pre-course and Post course Assessment</w:t>
      </w:r>
      <w:r w:rsidRPr="00F95398">
        <w:rPr>
          <w:sz w:val="22"/>
          <w:szCs w:val="22"/>
        </w:rPr>
        <w:t xml:space="preserve">: A structured </w:t>
      </w:r>
      <w:r w:rsidR="00255ECD" w:rsidRPr="00F95398">
        <w:rPr>
          <w:sz w:val="22"/>
          <w:szCs w:val="22"/>
        </w:rPr>
        <w:t xml:space="preserve">online </w:t>
      </w:r>
      <w:r w:rsidRPr="00F95398">
        <w:rPr>
          <w:sz w:val="22"/>
          <w:szCs w:val="22"/>
        </w:rPr>
        <w:t xml:space="preserve">format will be used to assess the pre- and post-course knowledge and skills on teaching and learning </w:t>
      </w:r>
    </w:p>
    <w:p w14:paraId="0D29716A" w14:textId="28FD396B" w:rsidR="00BF1CFE" w:rsidRPr="00F95398" w:rsidRDefault="00BF1CFE" w:rsidP="00CE74C0">
      <w:pPr>
        <w:jc w:val="both"/>
        <w:rPr>
          <w:sz w:val="22"/>
          <w:szCs w:val="22"/>
        </w:rPr>
      </w:pPr>
      <w:r w:rsidRPr="00F95398">
        <w:rPr>
          <w:b/>
          <w:sz w:val="22"/>
          <w:szCs w:val="22"/>
        </w:rPr>
        <w:t>Course Evaluation:</w:t>
      </w:r>
      <w:r w:rsidRPr="00F95398">
        <w:rPr>
          <w:sz w:val="22"/>
          <w:szCs w:val="22"/>
        </w:rPr>
        <w:t xml:space="preserve"> Both formal and informal </w:t>
      </w:r>
      <w:r w:rsidR="00C94A66">
        <w:rPr>
          <w:sz w:val="22"/>
          <w:szCs w:val="22"/>
        </w:rPr>
        <w:t xml:space="preserve">opinions and </w:t>
      </w:r>
      <w:r w:rsidRPr="00F95398">
        <w:rPr>
          <w:sz w:val="22"/>
          <w:szCs w:val="22"/>
        </w:rPr>
        <w:t>evaluation will be conducted</w:t>
      </w:r>
      <w:r w:rsidR="00255ECD" w:rsidRPr="00F95398">
        <w:rPr>
          <w:sz w:val="22"/>
          <w:szCs w:val="22"/>
        </w:rPr>
        <w:t xml:space="preserve"> through online </w:t>
      </w:r>
    </w:p>
    <w:p w14:paraId="09F0B68B" w14:textId="46993977" w:rsidR="00BF1CFE" w:rsidRPr="00F95398" w:rsidRDefault="00BF1CFE" w:rsidP="00CE74C0">
      <w:pPr>
        <w:jc w:val="both"/>
        <w:rPr>
          <w:sz w:val="22"/>
          <w:szCs w:val="22"/>
        </w:rPr>
      </w:pPr>
      <w:r w:rsidRPr="00F95398">
        <w:rPr>
          <w:b/>
          <w:sz w:val="22"/>
          <w:szCs w:val="22"/>
        </w:rPr>
        <w:t>Course Facilitation Team</w:t>
      </w:r>
      <w:r w:rsidRPr="00F95398">
        <w:rPr>
          <w:sz w:val="22"/>
          <w:szCs w:val="22"/>
        </w:rPr>
        <w:t xml:space="preserve">:  </w:t>
      </w:r>
      <w:r w:rsidR="00C94A66">
        <w:rPr>
          <w:sz w:val="22"/>
          <w:szCs w:val="22"/>
        </w:rPr>
        <w:t xml:space="preserve">Facilitators or Trainers </w:t>
      </w:r>
      <w:r w:rsidRPr="00F95398">
        <w:rPr>
          <w:sz w:val="22"/>
          <w:szCs w:val="22"/>
        </w:rPr>
        <w:t>of Green University Center of Excelle</w:t>
      </w:r>
      <w:r w:rsidR="004112CD" w:rsidRPr="00F95398">
        <w:rPr>
          <w:sz w:val="22"/>
          <w:szCs w:val="22"/>
        </w:rPr>
        <w:t>nce in Teaching and Learning (C</w:t>
      </w:r>
      <w:r w:rsidR="00C94A66">
        <w:rPr>
          <w:sz w:val="22"/>
          <w:szCs w:val="22"/>
        </w:rPr>
        <w:t>E</w:t>
      </w:r>
      <w:r w:rsidRPr="00F95398">
        <w:rPr>
          <w:sz w:val="22"/>
          <w:szCs w:val="22"/>
        </w:rPr>
        <w:t xml:space="preserve">TL) </w:t>
      </w:r>
    </w:p>
    <w:p w14:paraId="7297AD76" w14:textId="77777777" w:rsidR="00BF1CFE" w:rsidRPr="00F95398" w:rsidRDefault="00BF1CFE" w:rsidP="00CE74C0">
      <w:pPr>
        <w:jc w:val="both"/>
        <w:rPr>
          <w:b/>
          <w:sz w:val="22"/>
          <w:szCs w:val="22"/>
        </w:rPr>
      </w:pPr>
    </w:p>
    <w:p w14:paraId="3FE68632" w14:textId="14EF49AB" w:rsidR="00BF1CFE" w:rsidRPr="00F95398" w:rsidRDefault="00BF1CFE" w:rsidP="00CE74C0">
      <w:pPr>
        <w:jc w:val="both"/>
        <w:rPr>
          <w:sz w:val="22"/>
          <w:szCs w:val="22"/>
        </w:rPr>
      </w:pPr>
      <w:r w:rsidRPr="00F95398">
        <w:rPr>
          <w:b/>
          <w:sz w:val="22"/>
          <w:szCs w:val="22"/>
        </w:rPr>
        <w:t>Application Procedure:</w:t>
      </w:r>
      <w:r w:rsidRPr="00F95398">
        <w:rPr>
          <w:sz w:val="22"/>
          <w:szCs w:val="22"/>
        </w:rPr>
        <w:t xml:space="preserve">  </w:t>
      </w:r>
      <w:r w:rsidR="00C94A66">
        <w:rPr>
          <w:sz w:val="22"/>
          <w:szCs w:val="22"/>
        </w:rPr>
        <w:t xml:space="preserve">Academic institutes’ </w:t>
      </w:r>
      <w:r w:rsidRPr="00F95398">
        <w:rPr>
          <w:sz w:val="22"/>
          <w:szCs w:val="22"/>
        </w:rPr>
        <w:t xml:space="preserve">authorities (both public and private) </w:t>
      </w:r>
      <w:r w:rsidR="005F1DEC" w:rsidRPr="00F95398">
        <w:rPr>
          <w:sz w:val="22"/>
          <w:szCs w:val="22"/>
        </w:rPr>
        <w:t xml:space="preserve">may </w:t>
      </w:r>
      <w:r w:rsidRPr="00F95398">
        <w:rPr>
          <w:sz w:val="22"/>
          <w:szCs w:val="22"/>
        </w:rPr>
        <w:t xml:space="preserve">nominate their candidates </w:t>
      </w:r>
      <w:r w:rsidR="005F1DEC" w:rsidRPr="00F95398">
        <w:rPr>
          <w:sz w:val="22"/>
          <w:szCs w:val="22"/>
        </w:rPr>
        <w:t xml:space="preserve">or encourage </w:t>
      </w:r>
      <w:r w:rsidR="00C94A66">
        <w:rPr>
          <w:sz w:val="22"/>
          <w:szCs w:val="22"/>
        </w:rPr>
        <w:t xml:space="preserve">teachers </w:t>
      </w:r>
      <w:r w:rsidR="005F1DEC" w:rsidRPr="00F95398">
        <w:rPr>
          <w:sz w:val="22"/>
          <w:szCs w:val="22"/>
        </w:rPr>
        <w:t xml:space="preserve">to enroll by themselves through circulating the notice in their </w:t>
      </w:r>
      <w:r w:rsidR="00255ECD" w:rsidRPr="00F95398">
        <w:rPr>
          <w:sz w:val="22"/>
          <w:szCs w:val="22"/>
        </w:rPr>
        <w:t>websites</w:t>
      </w:r>
      <w:r w:rsidRPr="00F95398">
        <w:rPr>
          <w:b/>
          <w:sz w:val="22"/>
          <w:szCs w:val="22"/>
        </w:rPr>
        <w:t>,</w:t>
      </w:r>
      <w:r w:rsidRPr="00F95398">
        <w:rPr>
          <w:sz w:val="22"/>
          <w:szCs w:val="22"/>
        </w:rPr>
        <w:t xml:space="preserve"> using the prescribed registration form attached. Completed registration form is to be submitted at</w:t>
      </w:r>
      <w:r w:rsidR="00C94A66">
        <w:rPr>
          <w:sz w:val="22"/>
          <w:szCs w:val="22"/>
        </w:rPr>
        <w:t xml:space="preserve"> CETL</w:t>
      </w:r>
      <w:r w:rsidRPr="00F95398">
        <w:rPr>
          <w:sz w:val="22"/>
          <w:szCs w:val="22"/>
        </w:rPr>
        <w:t xml:space="preserve">, Office, 220/D Begum Rokeya Sarani, Dhaka 1207, Green University of Bangladesh by </w:t>
      </w:r>
      <w:r w:rsidR="0025546F">
        <w:rPr>
          <w:sz w:val="22"/>
          <w:szCs w:val="22"/>
        </w:rPr>
        <w:t>2</w:t>
      </w:r>
      <w:r w:rsidR="00C94A66">
        <w:rPr>
          <w:sz w:val="22"/>
          <w:szCs w:val="22"/>
        </w:rPr>
        <w:t>0</w:t>
      </w:r>
      <w:r w:rsidRPr="00F95398">
        <w:rPr>
          <w:sz w:val="22"/>
          <w:szCs w:val="22"/>
        </w:rPr>
        <w:t xml:space="preserve"> </w:t>
      </w:r>
      <w:r w:rsidR="0025546F">
        <w:rPr>
          <w:sz w:val="22"/>
          <w:szCs w:val="22"/>
        </w:rPr>
        <w:t>J</w:t>
      </w:r>
      <w:r w:rsidR="00C94A66">
        <w:rPr>
          <w:sz w:val="22"/>
          <w:szCs w:val="22"/>
        </w:rPr>
        <w:t>une</w:t>
      </w:r>
      <w:r w:rsidRPr="00F95398">
        <w:rPr>
          <w:sz w:val="22"/>
          <w:szCs w:val="22"/>
        </w:rPr>
        <w:t>, 20</w:t>
      </w:r>
      <w:r w:rsidR="0025546F">
        <w:rPr>
          <w:sz w:val="22"/>
          <w:szCs w:val="22"/>
        </w:rPr>
        <w:t>21</w:t>
      </w:r>
      <w:r w:rsidR="00C94A66">
        <w:rPr>
          <w:sz w:val="22"/>
          <w:szCs w:val="22"/>
        </w:rPr>
        <w:t xml:space="preserve"> or </w:t>
      </w:r>
    </w:p>
    <w:p w14:paraId="09B70F99" w14:textId="77777777" w:rsidR="00BF1CFE" w:rsidRPr="00F95398" w:rsidRDefault="00BF1CFE" w:rsidP="00CE74C0">
      <w:pPr>
        <w:jc w:val="both"/>
        <w:rPr>
          <w:sz w:val="22"/>
          <w:szCs w:val="22"/>
        </w:rPr>
      </w:pPr>
    </w:p>
    <w:p w14:paraId="4EDE157B" w14:textId="2581A639" w:rsidR="00BF1CFE" w:rsidRDefault="00BF1CFE" w:rsidP="00CE74C0">
      <w:pPr>
        <w:jc w:val="both"/>
        <w:rPr>
          <w:rStyle w:val="Hyperlink"/>
        </w:rPr>
      </w:pPr>
      <w:r w:rsidRPr="00F95398">
        <w:rPr>
          <w:sz w:val="22"/>
          <w:szCs w:val="22"/>
        </w:rPr>
        <w:t>Application can also be sent through e-mail at</w:t>
      </w:r>
      <w:r w:rsidR="00D85544" w:rsidRPr="00F95398">
        <w:rPr>
          <w:sz w:val="22"/>
          <w:szCs w:val="22"/>
        </w:rPr>
        <w:t xml:space="preserve"> </w:t>
      </w:r>
      <w:hyperlink r:id="rId8" w:history="1">
        <w:r w:rsidR="00C94A66" w:rsidRPr="004E2B46">
          <w:rPr>
            <w:rStyle w:val="Hyperlink"/>
          </w:rPr>
          <w:t>cetl@green.edu.bd</w:t>
        </w:r>
      </w:hyperlink>
    </w:p>
    <w:p w14:paraId="79D29C84" w14:textId="1FCB5C8E" w:rsidR="0020317C" w:rsidRDefault="0020317C" w:rsidP="00CE74C0">
      <w:pPr>
        <w:jc w:val="both"/>
        <w:rPr>
          <w:rStyle w:val="Hyperlink"/>
        </w:rPr>
      </w:pPr>
    </w:p>
    <w:p w14:paraId="4287FCB9" w14:textId="77777777" w:rsidR="0020317C" w:rsidRPr="0020317C" w:rsidRDefault="0020317C" w:rsidP="0020317C">
      <w:pPr>
        <w:pStyle w:val="BodyText"/>
        <w:rPr>
          <w:rFonts w:ascii="Times New Roman" w:hAnsi="Times New Roman"/>
          <w:sz w:val="22"/>
          <w:szCs w:val="22"/>
        </w:rPr>
      </w:pPr>
      <w:r w:rsidRPr="0020317C">
        <w:rPr>
          <w:rFonts w:ascii="Times New Roman" w:hAnsi="Times New Roman"/>
          <w:sz w:val="22"/>
          <w:szCs w:val="22"/>
        </w:rPr>
        <w:t>Candidates may complete his/her registration through Google Form.</w:t>
      </w:r>
    </w:p>
    <w:p w14:paraId="57AA7CF1" w14:textId="2B15B3FE" w:rsidR="0020317C" w:rsidRPr="0020317C" w:rsidRDefault="0020317C" w:rsidP="0020317C">
      <w:pPr>
        <w:pStyle w:val="BodyText"/>
        <w:rPr>
          <w:rFonts w:ascii="Times New Roman" w:hAnsi="Times New Roman"/>
          <w:sz w:val="22"/>
          <w:szCs w:val="22"/>
        </w:rPr>
      </w:pPr>
      <w:r w:rsidRPr="0020317C">
        <w:rPr>
          <w:rFonts w:ascii="Times New Roman" w:hAnsi="Times New Roman"/>
          <w:sz w:val="22"/>
          <w:szCs w:val="22"/>
        </w:rPr>
        <w:t xml:space="preserve">Link: </w:t>
      </w:r>
      <w:hyperlink r:id="rId9" w:history="1">
        <w:r w:rsidRPr="0020317C">
          <w:rPr>
            <w:rStyle w:val="Hyperlink"/>
            <w:rFonts w:ascii="Times New Roman" w:hAnsi="Times New Roman"/>
            <w:sz w:val="22"/>
            <w:szCs w:val="22"/>
          </w:rPr>
          <w:t>https://forms.gle/43EKMoC6ZJWWVoHL9</w:t>
        </w:r>
      </w:hyperlink>
    </w:p>
    <w:p w14:paraId="6F44B4CD" w14:textId="77777777" w:rsidR="00C94A66" w:rsidRDefault="00C94A66" w:rsidP="00C94A66">
      <w:pPr>
        <w:jc w:val="both"/>
        <w:rPr>
          <w:sz w:val="22"/>
          <w:szCs w:val="22"/>
        </w:rPr>
      </w:pPr>
    </w:p>
    <w:p w14:paraId="58A15344" w14:textId="28375F03" w:rsidR="00C94A66" w:rsidRPr="00C94A66" w:rsidRDefault="00BF1CFE" w:rsidP="00C94A66">
      <w:pPr>
        <w:jc w:val="both"/>
        <w:rPr>
          <w:sz w:val="22"/>
          <w:szCs w:val="22"/>
        </w:rPr>
      </w:pPr>
      <w:r w:rsidRPr="00F95398">
        <w:rPr>
          <w:b/>
          <w:sz w:val="22"/>
          <w:szCs w:val="22"/>
        </w:rPr>
        <w:t>Admission &amp; Course Fees</w:t>
      </w:r>
      <w:r w:rsidRPr="00F95398">
        <w:rPr>
          <w:sz w:val="22"/>
          <w:szCs w:val="22"/>
        </w:rPr>
        <w:t xml:space="preserve">:  Application will be reviewed on rolling basis (first apply first call). Each candidate will have to pay total </w:t>
      </w:r>
      <w:r w:rsidRPr="00F95398">
        <w:rPr>
          <w:b/>
          <w:sz w:val="22"/>
          <w:szCs w:val="22"/>
        </w:rPr>
        <w:t xml:space="preserve">Tk. </w:t>
      </w:r>
      <w:r w:rsidR="00C94A66">
        <w:rPr>
          <w:b/>
          <w:sz w:val="22"/>
          <w:szCs w:val="22"/>
        </w:rPr>
        <w:t>1</w:t>
      </w:r>
      <w:r w:rsidRPr="00F95398">
        <w:rPr>
          <w:b/>
          <w:sz w:val="22"/>
          <w:szCs w:val="22"/>
        </w:rPr>
        <w:t>,000/</w:t>
      </w:r>
      <w:r w:rsidR="001C1644" w:rsidRPr="00F95398">
        <w:rPr>
          <w:b/>
          <w:sz w:val="22"/>
          <w:szCs w:val="22"/>
        </w:rPr>
        <w:t xml:space="preserve"> </w:t>
      </w:r>
      <w:r w:rsidRPr="00F95398">
        <w:rPr>
          <w:sz w:val="22"/>
          <w:szCs w:val="22"/>
        </w:rPr>
        <w:t>as course fees</w:t>
      </w:r>
      <w:r w:rsidRPr="0020317C">
        <w:rPr>
          <w:color w:val="FF0000"/>
          <w:sz w:val="22"/>
          <w:szCs w:val="22"/>
        </w:rPr>
        <w:t xml:space="preserve">.  </w:t>
      </w:r>
      <w:r w:rsidR="00C94A66" w:rsidRPr="00AD101A">
        <w:rPr>
          <w:sz w:val="22"/>
          <w:szCs w:val="22"/>
        </w:rPr>
        <w:t>The amount may be deposited at (Acct. name) Accounts Name: Self Contributory Welfare Fund GUB, Account Number: 1127000055221</w:t>
      </w:r>
      <w:r w:rsidR="00C94A66" w:rsidRPr="00C94A66">
        <w:rPr>
          <w:sz w:val="22"/>
          <w:szCs w:val="22"/>
        </w:rPr>
        <w:t>, National Bank Limited, Rokeya Sarani Branch, Dhaka, Bangladesh: Reference: CETL</w:t>
      </w:r>
    </w:p>
    <w:p w14:paraId="40044C38" w14:textId="77777777" w:rsidR="00C94A66" w:rsidRPr="00C94A66" w:rsidRDefault="00C94A66" w:rsidP="00C94A66">
      <w:pPr>
        <w:jc w:val="both"/>
        <w:rPr>
          <w:sz w:val="22"/>
          <w:szCs w:val="22"/>
        </w:rPr>
      </w:pPr>
    </w:p>
    <w:p w14:paraId="7FECC520" w14:textId="726407C6" w:rsidR="00C94A66" w:rsidRPr="00C94A66" w:rsidRDefault="00C94A66" w:rsidP="00C94A66">
      <w:pPr>
        <w:jc w:val="both"/>
        <w:rPr>
          <w:sz w:val="22"/>
          <w:szCs w:val="22"/>
        </w:rPr>
      </w:pPr>
      <w:r w:rsidRPr="00C94A66">
        <w:rPr>
          <w:sz w:val="22"/>
          <w:szCs w:val="22"/>
        </w:rPr>
        <w:t>The course fee may also send by bKash (Send Money)/</w:t>
      </w:r>
      <w:proofErr w:type="spellStart"/>
      <w:r w:rsidRPr="00C94A66">
        <w:rPr>
          <w:sz w:val="22"/>
          <w:szCs w:val="22"/>
        </w:rPr>
        <w:t>Nagad</w:t>
      </w:r>
      <w:proofErr w:type="spellEnd"/>
      <w:r w:rsidRPr="00C94A66">
        <w:rPr>
          <w:sz w:val="22"/>
          <w:szCs w:val="22"/>
        </w:rPr>
        <w:t>/Rocket with charge to this number 01817084287. You are requested to attach last 4 digit of your number in Registration Form.</w:t>
      </w:r>
    </w:p>
    <w:p w14:paraId="4CA75393" w14:textId="32D47968" w:rsidR="00C94A66" w:rsidRPr="00C94A66" w:rsidRDefault="00C94A66" w:rsidP="00C94A66">
      <w:pPr>
        <w:jc w:val="both"/>
        <w:rPr>
          <w:sz w:val="22"/>
          <w:szCs w:val="22"/>
        </w:rPr>
      </w:pPr>
      <w:r w:rsidRPr="00C94A66">
        <w:rPr>
          <w:sz w:val="22"/>
          <w:szCs w:val="22"/>
        </w:rPr>
        <w:t>For deposit to account please attach a scanned copy of deposit slip of course fees Tk. 1,000/- (Taka One Thousand only) and send it to cetl@green.edu.bd</w:t>
      </w:r>
    </w:p>
    <w:p w14:paraId="4A3E0D69" w14:textId="77777777" w:rsidR="00C94A66" w:rsidRPr="00C94A66" w:rsidRDefault="00C94A66" w:rsidP="00C94A66">
      <w:pPr>
        <w:jc w:val="both"/>
        <w:rPr>
          <w:sz w:val="22"/>
          <w:szCs w:val="22"/>
        </w:rPr>
      </w:pPr>
    </w:p>
    <w:p w14:paraId="286C3B93" w14:textId="6208FD59" w:rsidR="00BF1CFE" w:rsidRDefault="00C94A66" w:rsidP="00297DA8">
      <w:pPr>
        <w:shd w:val="clear" w:color="auto" w:fill="FBE4D5" w:themeFill="accent2" w:themeFillTint="33"/>
        <w:jc w:val="center"/>
        <w:rPr>
          <w:b/>
          <w:bCs/>
          <w:sz w:val="22"/>
          <w:szCs w:val="22"/>
        </w:rPr>
      </w:pPr>
      <w:r w:rsidRPr="00C94A66">
        <w:rPr>
          <w:b/>
          <w:bCs/>
          <w:sz w:val="22"/>
          <w:szCs w:val="22"/>
        </w:rPr>
        <w:t>Last Date of Registration: 20th June 2021</w:t>
      </w:r>
    </w:p>
    <w:p w14:paraId="1207C46B" w14:textId="77777777" w:rsidR="003A36A3" w:rsidRDefault="003A36A3" w:rsidP="00CE74C0">
      <w:pPr>
        <w:pBdr>
          <w:bottom w:val="single" w:sz="6" w:space="17" w:color="auto"/>
        </w:pBdr>
        <w:jc w:val="both"/>
        <w:rPr>
          <w:b/>
        </w:rPr>
      </w:pPr>
      <w:r>
        <w:rPr>
          <w:b/>
        </w:rPr>
        <w:t>CETL Office</w:t>
      </w:r>
    </w:p>
    <w:p w14:paraId="522470A5" w14:textId="6F04463F" w:rsidR="00BF1CFE" w:rsidRPr="00CE74C0" w:rsidRDefault="00BF1CFE" w:rsidP="00CE74C0">
      <w:pPr>
        <w:pBdr>
          <w:bottom w:val="single" w:sz="6" w:space="17" w:color="auto"/>
        </w:pBdr>
        <w:jc w:val="both"/>
      </w:pPr>
      <w:r w:rsidRPr="00CE74C0">
        <w:t xml:space="preserve">220/D Rokeya Sarani, Dhaka 1207       </w:t>
      </w:r>
    </w:p>
    <w:p w14:paraId="5B02492D" w14:textId="269E33A2" w:rsidR="00BF1CFE" w:rsidRPr="00CE74C0" w:rsidRDefault="00586A4C" w:rsidP="00CE74C0">
      <w:pPr>
        <w:pBdr>
          <w:bottom w:val="single" w:sz="6" w:space="17" w:color="auto"/>
        </w:pBdr>
        <w:jc w:val="both"/>
      </w:pPr>
      <w:r>
        <w:t>Green University of Bangladesh</w:t>
      </w:r>
    </w:p>
    <w:p w14:paraId="01BE1805" w14:textId="74E6A5ED" w:rsidR="00BF1CFE" w:rsidRDefault="00AB6CEB" w:rsidP="00CE74C0">
      <w:pPr>
        <w:pBdr>
          <w:bottom w:val="single" w:sz="6" w:space="17" w:color="auto"/>
        </w:pBdr>
        <w:jc w:val="both"/>
      </w:pPr>
      <w:r>
        <w:t>Phone: 02-3014725 (Ex:223</w:t>
      </w:r>
      <w:proofErr w:type="gramStart"/>
      <w:r>
        <w:t>),+</w:t>
      </w:r>
      <w:proofErr w:type="gramEnd"/>
      <w:r w:rsidR="003A36A3" w:rsidRPr="003A36A3">
        <w:t xml:space="preserve"> </w:t>
      </w:r>
      <w:r w:rsidR="003A36A3">
        <w:t>88</w:t>
      </w:r>
      <w:r w:rsidR="003A36A3" w:rsidRPr="003A36A3">
        <w:t>01852222017</w:t>
      </w:r>
    </w:p>
    <w:p w14:paraId="78978E7A" w14:textId="5248FB67" w:rsidR="003A36A3" w:rsidRDefault="00586A4C" w:rsidP="00CE74C0">
      <w:pPr>
        <w:pBdr>
          <w:bottom w:val="single" w:sz="6" w:space="17" w:color="auto"/>
        </w:pBdr>
        <w:jc w:val="both"/>
      </w:pPr>
      <w:r>
        <w:t xml:space="preserve">E-mail: </w:t>
      </w:r>
      <w:hyperlink r:id="rId10" w:history="1">
        <w:r w:rsidR="003A36A3" w:rsidRPr="004E2B46">
          <w:rPr>
            <w:rStyle w:val="Hyperlink"/>
          </w:rPr>
          <w:t>cetl@green.edu.bd</w:t>
        </w:r>
      </w:hyperlink>
    </w:p>
    <w:p w14:paraId="46F88E89" w14:textId="07027C6A" w:rsidR="00BF1CFE" w:rsidRPr="00CE74C0" w:rsidRDefault="00586A4C" w:rsidP="003A36A3">
      <w:pPr>
        <w:pBdr>
          <w:bottom w:val="single" w:sz="6" w:space="17" w:color="auto"/>
        </w:pBdr>
        <w:jc w:val="both"/>
      </w:pPr>
      <w:r>
        <w:t xml:space="preserve">Website: </w:t>
      </w:r>
      <w:hyperlink r:id="rId11" w:history="1">
        <w:r w:rsidR="003A36A3" w:rsidRPr="004E2B46">
          <w:rPr>
            <w:rStyle w:val="Hyperlink"/>
          </w:rPr>
          <w:t>http://cetl.green.edu.bd</w:t>
        </w:r>
      </w:hyperlink>
    </w:p>
    <w:sectPr w:rsidR="00BF1CFE" w:rsidRPr="00CE74C0" w:rsidSect="00CE3DB1">
      <w:headerReference w:type="default" r:id="rId12"/>
      <w:footerReference w:type="default" r:id="rId13"/>
      <w:pgSz w:w="12240" w:h="15840"/>
      <w:pgMar w:top="1152" w:right="1152" w:bottom="1152" w:left="1152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C613B" w14:textId="77777777" w:rsidR="008A1882" w:rsidRDefault="008A1882">
      <w:r>
        <w:separator/>
      </w:r>
    </w:p>
  </w:endnote>
  <w:endnote w:type="continuationSeparator" w:id="0">
    <w:p w14:paraId="71D535FC" w14:textId="77777777" w:rsidR="008A1882" w:rsidRDefault="008A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가을체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FB4E" w14:textId="77777777" w:rsidR="00BB4FF9" w:rsidRDefault="00551B8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407D">
      <w:rPr>
        <w:noProof/>
      </w:rPr>
      <w:t>4</w:t>
    </w:r>
    <w:r>
      <w:rPr>
        <w:noProof/>
      </w:rPr>
      <w:fldChar w:fldCharType="end"/>
    </w:r>
  </w:p>
  <w:p w14:paraId="725CA70A" w14:textId="77777777" w:rsidR="00BB4FF9" w:rsidRDefault="008A1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A7065" w14:textId="77777777" w:rsidR="008A1882" w:rsidRDefault="008A1882">
      <w:r>
        <w:separator/>
      </w:r>
    </w:p>
  </w:footnote>
  <w:footnote w:type="continuationSeparator" w:id="0">
    <w:p w14:paraId="0AC97B8F" w14:textId="77777777" w:rsidR="008A1882" w:rsidRDefault="008A1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E12F" w14:textId="77777777" w:rsidR="00F73FF5" w:rsidRDefault="00F73FF5" w:rsidP="00F73FF5">
    <w:pPr>
      <w:pStyle w:val="Header"/>
      <w:tabs>
        <w:tab w:val="clear" w:pos="4513"/>
        <w:tab w:val="clear" w:pos="9026"/>
        <w:tab w:val="left" w:pos="8220"/>
      </w:tabs>
    </w:pPr>
    <w:r>
      <w:tab/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3127"/>
    </w:tblGrid>
    <w:tr w:rsidR="00F73FF5" w14:paraId="36D74DEB" w14:textId="77777777" w:rsidTr="00F73FF5">
      <w:tc>
        <w:tcPr>
          <w:tcW w:w="6799" w:type="dxa"/>
        </w:tcPr>
        <w:p w14:paraId="077D6068" w14:textId="00896AD8" w:rsidR="00F73FF5" w:rsidRDefault="00F73FF5" w:rsidP="00F73FF5">
          <w:pPr>
            <w:pStyle w:val="Header"/>
            <w:tabs>
              <w:tab w:val="clear" w:pos="4513"/>
              <w:tab w:val="clear" w:pos="9026"/>
              <w:tab w:val="left" w:pos="8220"/>
            </w:tabs>
          </w:pPr>
          <w:r>
            <w:rPr>
              <w:noProof/>
            </w:rPr>
            <w:drawing>
              <wp:inline distT="0" distB="0" distL="0" distR="0" wp14:anchorId="32D491D9" wp14:editId="60B88AB8">
                <wp:extent cx="793750" cy="890971"/>
                <wp:effectExtent l="0" t="0" r="6350" b="444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2015" cy="900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7" w:type="dxa"/>
        </w:tcPr>
        <w:p w14:paraId="6FE81E17" w14:textId="58A82CC1" w:rsidR="00F73FF5" w:rsidRDefault="00F73FF5" w:rsidP="00F73FF5">
          <w:pPr>
            <w:pStyle w:val="Header"/>
            <w:tabs>
              <w:tab w:val="clear" w:pos="4513"/>
              <w:tab w:val="clear" w:pos="9026"/>
              <w:tab w:val="left" w:pos="8220"/>
            </w:tabs>
          </w:pPr>
          <w:r>
            <w:rPr>
              <w:noProof/>
            </w:rPr>
            <w:drawing>
              <wp:inline distT="0" distB="0" distL="0" distR="0" wp14:anchorId="13EFCB8D" wp14:editId="1CFEAC0C">
                <wp:extent cx="1670685" cy="640080"/>
                <wp:effectExtent l="0" t="0" r="5715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685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F943C9B" w14:textId="6AB67246" w:rsidR="00F73FF5" w:rsidRDefault="00F73FF5" w:rsidP="00F73FF5">
    <w:pPr>
      <w:pStyle w:val="Header"/>
      <w:tabs>
        <w:tab w:val="clear" w:pos="4513"/>
        <w:tab w:val="clear" w:pos="9026"/>
        <w:tab w:val="left" w:pos="8220"/>
      </w:tabs>
    </w:pPr>
    <w: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05AE9"/>
    <w:multiLevelType w:val="hybridMultilevel"/>
    <w:tmpl w:val="D98A46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694E8C"/>
    <w:multiLevelType w:val="hybridMultilevel"/>
    <w:tmpl w:val="609CD5B6"/>
    <w:lvl w:ilvl="0" w:tplc="E12E22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34F32"/>
    <w:multiLevelType w:val="hybridMultilevel"/>
    <w:tmpl w:val="1410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C2EE2"/>
    <w:multiLevelType w:val="multilevel"/>
    <w:tmpl w:val="86B41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B056E4"/>
    <w:multiLevelType w:val="hybridMultilevel"/>
    <w:tmpl w:val="7116C76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050027"/>
    <w:multiLevelType w:val="hybridMultilevel"/>
    <w:tmpl w:val="26EA56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D5593"/>
    <w:multiLevelType w:val="hybridMultilevel"/>
    <w:tmpl w:val="53E6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yszQwtDAwtzQxMjFV0lEKTi0uzszPAykwqgUAnO3pTSwAAAA="/>
  </w:docVars>
  <w:rsids>
    <w:rsidRoot w:val="00BF1CFE"/>
    <w:rsid w:val="000418A8"/>
    <w:rsid w:val="000F2481"/>
    <w:rsid w:val="001008AA"/>
    <w:rsid w:val="001124EE"/>
    <w:rsid w:val="00183D14"/>
    <w:rsid w:val="001B7DB0"/>
    <w:rsid w:val="001C1644"/>
    <w:rsid w:val="0020317C"/>
    <w:rsid w:val="00205DB1"/>
    <w:rsid w:val="00244A72"/>
    <w:rsid w:val="0025546F"/>
    <w:rsid w:val="00255ECD"/>
    <w:rsid w:val="00297DA8"/>
    <w:rsid w:val="002E47AF"/>
    <w:rsid w:val="00310D67"/>
    <w:rsid w:val="0032328D"/>
    <w:rsid w:val="00326504"/>
    <w:rsid w:val="003341B4"/>
    <w:rsid w:val="00372529"/>
    <w:rsid w:val="003A36A3"/>
    <w:rsid w:val="003C1968"/>
    <w:rsid w:val="003C4005"/>
    <w:rsid w:val="0040586F"/>
    <w:rsid w:val="004112CD"/>
    <w:rsid w:val="00427B16"/>
    <w:rsid w:val="004512BA"/>
    <w:rsid w:val="00471697"/>
    <w:rsid w:val="00551B8C"/>
    <w:rsid w:val="00552629"/>
    <w:rsid w:val="00586A4C"/>
    <w:rsid w:val="005936D8"/>
    <w:rsid w:val="005F108B"/>
    <w:rsid w:val="005F1DEC"/>
    <w:rsid w:val="00613DFB"/>
    <w:rsid w:val="00634CC3"/>
    <w:rsid w:val="00635F0C"/>
    <w:rsid w:val="00643D87"/>
    <w:rsid w:val="00651B7C"/>
    <w:rsid w:val="00685179"/>
    <w:rsid w:val="00685BD9"/>
    <w:rsid w:val="00694AD0"/>
    <w:rsid w:val="00705958"/>
    <w:rsid w:val="007E655D"/>
    <w:rsid w:val="00832763"/>
    <w:rsid w:val="008A1882"/>
    <w:rsid w:val="008D229A"/>
    <w:rsid w:val="008E7EAB"/>
    <w:rsid w:val="009322A3"/>
    <w:rsid w:val="0094426C"/>
    <w:rsid w:val="00965FD9"/>
    <w:rsid w:val="009E4807"/>
    <w:rsid w:val="009F271E"/>
    <w:rsid w:val="009F407D"/>
    <w:rsid w:val="00A276FC"/>
    <w:rsid w:val="00A42763"/>
    <w:rsid w:val="00A760B7"/>
    <w:rsid w:val="00A76C8C"/>
    <w:rsid w:val="00AB6CEB"/>
    <w:rsid w:val="00AD101A"/>
    <w:rsid w:val="00B00DA3"/>
    <w:rsid w:val="00BD0C88"/>
    <w:rsid w:val="00BF1CFE"/>
    <w:rsid w:val="00C72FE4"/>
    <w:rsid w:val="00C77D21"/>
    <w:rsid w:val="00C916EB"/>
    <w:rsid w:val="00C94A66"/>
    <w:rsid w:val="00CB5B47"/>
    <w:rsid w:val="00CE32CD"/>
    <w:rsid w:val="00CE3DB1"/>
    <w:rsid w:val="00CE74C0"/>
    <w:rsid w:val="00D00F9A"/>
    <w:rsid w:val="00D75E59"/>
    <w:rsid w:val="00D85544"/>
    <w:rsid w:val="00DA4076"/>
    <w:rsid w:val="00DF5FE4"/>
    <w:rsid w:val="00E0154B"/>
    <w:rsid w:val="00E03155"/>
    <w:rsid w:val="00E065FF"/>
    <w:rsid w:val="00E20685"/>
    <w:rsid w:val="00E35DCA"/>
    <w:rsid w:val="00E37435"/>
    <w:rsid w:val="00E7484F"/>
    <w:rsid w:val="00E81132"/>
    <w:rsid w:val="00E93D81"/>
    <w:rsid w:val="00ED15CB"/>
    <w:rsid w:val="00EE3DBA"/>
    <w:rsid w:val="00F13DAF"/>
    <w:rsid w:val="00F32174"/>
    <w:rsid w:val="00F60B55"/>
    <w:rsid w:val="00F73FF5"/>
    <w:rsid w:val="00F75A9F"/>
    <w:rsid w:val="00F801CE"/>
    <w:rsid w:val="00F95398"/>
    <w:rsid w:val="00FA7F2B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F4355"/>
  <w15:chartTrackingRefBased/>
  <w15:docId w15:val="{8219460F-7F88-48E9-8BA6-D486FC24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1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CF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BF1C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CF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1CFE"/>
    <w:pPr>
      <w:spacing w:before="100" w:beforeAutospacing="1" w:after="100" w:afterAutospacing="1"/>
    </w:pPr>
    <w:rPr>
      <w:lang w:bidi="bn-BD"/>
    </w:rPr>
  </w:style>
  <w:style w:type="character" w:customStyle="1" w:styleId="apple-tab-span">
    <w:name w:val="apple-tab-span"/>
    <w:basedOn w:val="DefaultParagraphFont"/>
    <w:rsid w:val="00832763"/>
  </w:style>
  <w:style w:type="character" w:customStyle="1" w:styleId="il">
    <w:name w:val="il"/>
    <w:basedOn w:val="DefaultParagraphFont"/>
    <w:rsid w:val="00F32174"/>
  </w:style>
  <w:style w:type="character" w:customStyle="1" w:styleId="im">
    <w:name w:val="im"/>
    <w:basedOn w:val="DefaultParagraphFont"/>
    <w:rsid w:val="00F32174"/>
  </w:style>
  <w:style w:type="paragraph" w:styleId="Header">
    <w:name w:val="header"/>
    <w:basedOn w:val="Normal"/>
    <w:link w:val="HeaderChar"/>
    <w:uiPriority w:val="99"/>
    <w:unhideWhenUsed/>
    <w:rsid w:val="00F73F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FF5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F73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4A6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20317C"/>
    <w:pPr>
      <w:widowControl w:val="0"/>
      <w:wordWrap w:val="0"/>
      <w:jc w:val="both"/>
    </w:pPr>
    <w:rPr>
      <w:rFonts w:ascii="Arial Narrow" w:eastAsia="가을체" w:hAnsi="Arial Narrow"/>
      <w:kern w:val="2"/>
      <w:sz w:val="20"/>
      <w:szCs w:val="20"/>
      <w:lang w:eastAsia="ko-KR"/>
    </w:rPr>
  </w:style>
  <w:style w:type="character" w:customStyle="1" w:styleId="BodyTextChar">
    <w:name w:val="Body Text Char"/>
    <w:basedOn w:val="DefaultParagraphFont"/>
    <w:link w:val="BodyText"/>
    <w:uiPriority w:val="99"/>
    <w:rsid w:val="0020317C"/>
    <w:rPr>
      <w:rFonts w:ascii="Arial Narrow" w:eastAsia="가을체" w:hAnsi="Arial Narrow" w:cs="Times New Roman"/>
      <w:kern w:val="2"/>
      <w:sz w:val="20"/>
      <w:szCs w:val="20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tl@green.edu.b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etl.green.edu.b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etl@green.edu.b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43EKMoC6ZJWWVoHL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3AD61-5D87-426B-ABAF-7D0AAC35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Hp</cp:lastModifiedBy>
  <cp:revision>10</cp:revision>
  <cp:lastPrinted>2021-05-31T07:12:00Z</cp:lastPrinted>
  <dcterms:created xsi:type="dcterms:W3CDTF">2021-05-23T19:22:00Z</dcterms:created>
  <dcterms:modified xsi:type="dcterms:W3CDTF">2021-05-31T07:13:00Z</dcterms:modified>
</cp:coreProperties>
</file>